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91" w:rsidRPr="003708EE" w:rsidRDefault="000E1791" w:rsidP="003708EE">
      <w:pPr>
        <w:spacing w:before="60" w:line="18" w:lineRule="atLeast"/>
        <w:rPr>
          <w:rFonts w:ascii="Arial" w:hAnsi="Arial"/>
          <w:sz w:val="17"/>
          <w:szCs w:val="17"/>
        </w:rPr>
      </w:pPr>
      <w:r w:rsidRPr="003708EE">
        <w:rPr>
          <w:rFonts w:ascii="Arial" w:hAnsi="Arial"/>
          <w:sz w:val="17"/>
          <w:szCs w:val="17"/>
        </w:rPr>
        <w:t>1. PARTIES – In these terms and conditions, the words we, us, our and ours mean Seller or Seller’s authorized representative. The words you, your, and yours mean the Buyer.</w:t>
      </w:r>
    </w:p>
    <w:p w:rsidR="000E1791" w:rsidRPr="003708EE" w:rsidRDefault="000E1791" w:rsidP="003708EE">
      <w:pPr>
        <w:spacing w:before="60" w:line="18" w:lineRule="atLeast"/>
        <w:rPr>
          <w:rFonts w:ascii="Arial" w:hAnsi="Arial"/>
          <w:sz w:val="17"/>
          <w:szCs w:val="17"/>
        </w:rPr>
      </w:pPr>
      <w:r w:rsidRPr="003708EE">
        <w:rPr>
          <w:rFonts w:ascii="Arial" w:hAnsi="Arial"/>
          <w:sz w:val="17"/>
          <w:szCs w:val="17"/>
        </w:rPr>
        <w:t xml:space="preserve">2. SERVICE – We will provide service (including parts and labor) as set forth on our service brochure and the front of this agreement and subject to these terms and conditions. Our acceptance of this Agreement is subject to equipment conditions at the time of the first service call. </w:t>
      </w:r>
    </w:p>
    <w:p w:rsidR="000E1791" w:rsidRPr="003708EE" w:rsidRDefault="000E1791" w:rsidP="003708EE">
      <w:pPr>
        <w:spacing w:before="60" w:line="18" w:lineRule="atLeast"/>
        <w:rPr>
          <w:rFonts w:ascii="Arial" w:hAnsi="Arial"/>
          <w:sz w:val="17"/>
          <w:szCs w:val="17"/>
        </w:rPr>
      </w:pPr>
      <w:r w:rsidRPr="003708EE">
        <w:rPr>
          <w:rFonts w:ascii="Arial" w:hAnsi="Arial"/>
          <w:sz w:val="17"/>
          <w:szCs w:val="17"/>
        </w:rPr>
        <w:t>3. EXCLUSIONS – THIS AGREEMENT DOES NOT COVER SERVICE REQUIRED FOR INSUFFICIENT HOT WATER DUE TO SEDIMENT OR CORROSION. PARTS ARE NOT COVERED IF THEY ARE OBSOLETE OR INACCESSIBLE. WE WILL BILL YOU FOR REPAIRS OR SERVICE NOT COVERED BY THIS AGREEMENT AT OUR PREVAILING RATES IN EFFECT AT THE TIME SERVICE IS RENDERED.</w:t>
      </w:r>
    </w:p>
    <w:p w:rsidR="000E1791" w:rsidRPr="003708EE" w:rsidRDefault="000E1791" w:rsidP="003708EE">
      <w:pPr>
        <w:spacing w:before="60" w:line="18" w:lineRule="atLeast"/>
        <w:rPr>
          <w:rFonts w:ascii="Arial" w:hAnsi="Arial"/>
          <w:sz w:val="17"/>
          <w:szCs w:val="17"/>
        </w:rPr>
      </w:pPr>
      <w:r w:rsidRPr="003708EE">
        <w:rPr>
          <w:rFonts w:ascii="Arial" w:hAnsi="Arial"/>
          <w:sz w:val="17"/>
          <w:szCs w:val="17"/>
        </w:rPr>
        <w:t xml:space="preserve">4. CONDITIONS OF COVERAGE – THIS AGREEMENT IS AVAILABLE ONLY TO OUR AUTOMATIC DELIVERY CUSTOMERS WHO PURCHASE ALL THEIR FUEL REQUIREMENTS FROM US FOR RESIDENTIAL PROPANE/GAS EQUIPMENT OR RESIDENTIAL OIL HEATING EQUIPMENT WITH A MAXIMUM FIRING RATE OF 2.5 GALLONS PER </w:t>
      </w:r>
      <w:r w:rsidR="00012A08" w:rsidRPr="003708EE">
        <w:rPr>
          <w:rFonts w:ascii="Arial" w:hAnsi="Arial"/>
          <w:sz w:val="17"/>
          <w:szCs w:val="17"/>
        </w:rPr>
        <w:t>HOUR.</w:t>
      </w:r>
    </w:p>
    <w:p w:rsidR="000E1791" w:rsidRPr="003708EE" w:rsidRDefault="000E1791" w:rsidP="003708EE">
      <w:pPr>
        <w:spacing w:before="60" w:line="18" w:lineRule="atLeast"/>
        <w:rPr>
          <w:rFonts w:ascii="Arial" w:hAnsi="Arial"/>
          <w:sz w:val="17"/>
          <w:szCs w:val="17"/>
        </w:rPr>
      </w:pPr>
      <w:r w:rsidRPr="003708EE">
        <w:rPr>
          <w:rFonts w:ascii="Arial" w:hAnsi="Arial"/>
          <w:sz w:val="17"/>
          <w:szCs w:val="17"/>
        </w:rPr>
        <w:t>5. YOUR RESPONSIBILITIES – YOU ARE RESPONSIBLE FOR THE FOLLOWING ITEMS, WHICH ARE NOT COVERED BY THIS AGREEMENT: VENTING AIR FROM THE HEATING SYSTEM; FLUSHING THE FLOW WATER CUTOFF; MAINTAINING AN ADEQUATE WATER LEVEL IN THE BOILER; PROVIDING ADEQUATE BOILER ROOM VENTILATION FOR PROPER COMBUSTION; PROPERLY REMOVING ASBESTOS CONTAINING MATERIALS; CHANGES IN FUEL CONSUMPTION; MAINTAINING CLEAN AIR FILTERS; DRAINING THE EXPANSION TANK; REPLACING FUSES; RESETTING CIRCUIT BREAKERS; TURNING ON THE EMERGENCY SWITCH; SETTING THERMOSTAT TEMPERATURE OR CLOCKS; REPLACING BATTERIES IN SYSTEM DEVICES; MAINTAINING THE CONDITION OF THE CHIMNEY, FUEL TANK, FUEL LINES, AND PIPING; AND SCHEDULING SERVICE CALLS AND TUNE-UPS. YOU ARE RESPONSIBLE FOR PROVIDING ADVANCE NOTICE OF THE REPLACEMENT OR MOVEMENT OF ANY HEATING EQUIPMENT INCLUDING THE FUEL TANK AND RELATED PIPING. CUSTOMERS ARE ALSO EXPECTED TO MONITOR THE CONDITION OF ALL FILTERS (HEATING, COOLING, HUMIDIFIER, AIR CLEANER, ETC.). WE WILL CLEAN/REPLACE THESE FILTERS AS NEEDED DURING OUR MAINTENANCE SERVICE. IT IS THE CUSTOMER’S RESPONSIBILITY TO SUPPLY THE APPROPRIATE FILTERS.</w:t>
      </w:r>
    </w:p>
    <w:p w:rsidR="000E1791" w:rsidRPr="003708EE" w:rsidRDefault="000E1791" w:rsidP="003708EE">
      <w:pPr>
        <w:spacing w:before="60" w:line="18" w:lineRule="atLeast"/>
        <w:rPr>
          <w:rFonts w:ascii="Arial" w:hAnsi="Arial"/>
          <w:sz w:val="17"/>
          <w:szCs w:val="17"/>
        </w:rPr>
      </w:pPr>
      <w:r w:rsidRPr="003708EE">
        <w:rPr>
          <w:rFonts w:ascii="Arial" w:hAnsi="Arial"/>
          <w:sz w:val="17"/>
          <w:szCs w:val="17"/>
        </w:rPr>
        <w:t>6. BILLING – You will receive an invoice (an “Invoice”) with your agreement. The Invoice amount is due in full upon receipt. If the Invoice is not paid in full, we will send you a statement (“Statement”) showing all amounts due (which may also include amounts due for fuel deliveries). We will charge you a $25.00 fee for all returned checks ($20.00 for New York State customers).</w:t>
      </w:r>
    </w:p>
    <w:p w:rsidR="000E1791" w:rsidRPr="003708EE" w:rsidRDefault="000E1791" w:rsidP="003708EE">
      <w:pPr>
        <w:spacing w:before="60" w:line="18" w:lineRule="atLeast"/>
        <w:rPr>
          <w:rFonts w:ascii="Arial" w:hAnsi="Arial"/>
          <w:sz w:val="17"/>
          <w:szCs w:val="17"/>
        </w:rPr>
      </w:pPr>
      <w:r w:rsidRPr="003708EE">
        <w:rPr>
          <w:rFonts w:ascii="Arial" w:hAnsi="Arial"/>
          <w:sz w:val="17"/>
          <w:szCs w:val="17"/>
        </w:rPr>
        <w:t xml:space="preserve">7. WHEN A LATE FEE WILL BE ADDED – If we do not receive full payment of your Invoice by thirty (30) days from the Invoice date, you must pay a late fee. The late fee will appear on your next Statement. We compute the late fee based on a periodic rate of 1.5% per month, which is an ANNUAL PERCENTAGE RATE of 18%, with a minimum late fee of $0.50. We will figure the late fee </w:t>
      </w:r>
      <w:r w:rsidR="00EE0CD1">
        <w:rPr>
          <w:rFonts w:ascii="Arial" w:hAnsi="Arial"/>
          <w:sz w:val="17"/>
          <w:szCs w:val="17"/>
        </w:rPr>
        <w:t>using</w:t>
      </w:r>
      <w:bookmarkStart w:id="0" w:name="_GoBack"/>
      <w:bookmarkEnd w:id="0"/>
      <w:r w:rsidRPr="003708EE">
        <w:rPr>
          <w:rFonts w:ascii="Arial" w:hAnsi="Arial"/>
          <w:sz w:val="17"/>
          <w:szCs w:val="17"/>
        </w:rPr>
        <w:t xml:space="preserve"> the Adjusted Balance Method. In no event will the late fees be more than the law allows.</w:t>
      </w:r>
    </w:p>
    <w:p w:rsidR="000E1791" w:rsidRPr="003708EE" w:rsidRDefault="000E1791" w:rsidP="003708EE">
      <w:pPr>
        <w:spacing w:before="60" w:line="18" w:lineRule="atLeast"/>
        <w:rPr>
          <w:rFonts w:ascii="Arial" w:hAnsi="Arial"/>
          <w:sz w:val="17"/>
          <w:szCs w:val="17"/>
        </w:rPr>
      </w:pPr>
      <w:r w:rsidRPr="003708EE">
        <w:rPr>
          <w:rFonts w:ascii="Arial" w:hAnsi="Arial"/>
          <w:sz w:val="17"/>
          <w:szCs w:val="17"/>
        </w:rPr>
        <w:t>8. COLLECTION COSTS – You agree to pay, in addition to your balance, all costs of collection as permitted by law, including without limitation, reasonable attorneys’ fees and court costs.</w:t>
      </w:r>
    </w:p>
    <w:p w:rsidR="000E1791" w:rsidRPr="003708EE" w:rsidRDefault="000E1791" w:rsidP="003708EE">
      <w:pPr>
        <w:spacing w:before="60" w:line="18" w:lineRule="atLeast"/>
        <w:rPr>
          <w:rFonts w:ascii="Arial" w:hAnsi="Arial"/>
          <w:sz w:val="17"/>
          <w:szCs w:val="17"/>
        </w:rPr>
      </w:pPr>
      <w:r w:rsidRPr="003708EE">
        <w:rPr>
          <w:rFonts w:ascii="Arial" w:hAnsi="Arial"/>
          <w:sz w:val="17"/>
          <w:szCs w:val="17"/>
        </w:rPr>
        <w:t>9. IRREGULAR PAYMENT AND DELAY IN ENFORCEMENT – We can accept late payments, partial payments or payments marked “payment in full” without losing any of our rights under this Agreement. We can also delay enforcing any of our rights under this Agreement without losing any of our rights under this Agreement.</w:t>
      </w:r>
    </w:p>
    <w:p w:rsidR="000E1791" w:rsidRPr="003708EE" w:rsidRDefault="000E1791" w:rsidP="003708EE">
      <w:pPr>
        <w:spacing w:before="60" w:line="18" w:lineRule="atLeast"/>
        <w:rPr>
          <w:rFonts w:ascii="Arial" w:hAnsi="Arial"/>
          <w:sz w:val="17"/>
          <w:szCs w:val="17"/>
        </w:rPr>
      </w:pPr>
      <w:r w:rsidRPr="003708EE">
        <w:rPr>
          <w:rFonts w:ascii="Arial" w:hAnsi="Arial"/>
          <w:sz w:val="17"/>
          <w:szCs w:val="17"/>
        </w:rPr>
        <w:t xml:space="preserve">10. LIMITS OF LIABILITY – We will not be responsible for loss or damages due to or resulting from: changes in fuel consumption; improper operation of attic fan or alternate fuel device; your failure to schedule service and or tune-ups; acts of God; terrorism; strikes; riots; material or labor shortages; fire; flood; hurricane; power interruption or loss; accidents; governmental acts; abuse or misuse of equipment; spontaneous part failure; insufficient water; frozen or jellied pipes/lines; or any other conditions beyond our reasonable control, including a vacant, unattended or unoccupied premises (in this Agreement, the term “vacant or unattended premises” shall mean premises at which no adult occupant is present for at least twenty-four (24) consecutive hours). TO THE MAXIMUM EXTENT PERMITTED BY LAW, we will have no liability for direct or indirect, special or consequential damages of any kind. We are not responsible for secondary damage as a result of delay in rendering service. To the extent any warranty exists, our liability for any warranty claim will be limited, as permitted by law, to the repair or replacement of defective parts or services provided under this Agreement. Any and all actions, whether based in contract or tort, whether for personal injury or property damage, and whether brought by Buyer or </w:t>
      </w:r>
      <w:r w:rsidR="00012A08" w:rsidRPr="003708EE">
        <w:rPr>
          <w:rFonts w:ascii="Arial" w:hAnsi="Arial"/>
          <w:sz w:val="17"/>
          <w:szCs w:val="17"/>
        </w:rPr>
        <w:t>Buyer</w:t>
      </w:r>
      <w:r w:rsidR="00012A08" w:rsidRPr="003708EE">
        <w:rPr>
          <w:rFonts w:ascii="Arial" w:hAnsi="Arial" w:cs="Times New Roman"/>
          <w:sz w:val="17"/>
          <w:szCs w:val="17"/>
        </w:rPr>
        <w:t>’</w:t>
      </w:r>
      <w:r w:rsidR="00012A08" w:rsidRPr="003708EE">
        <w:rPr>
          <w:rFonts w:ascii="Arial" w:hAnsi="Arial"/>
          <w:sz w:val="17"/>
          <w:szCs w:val="17"/>
        </w:rPr>
        <w:t>s</w:t>
      </w:r>
      <w:r w:rsidRPr="003708EE">
        <w:rPr>
          <w:rFonts w:ascii="Arial" w:hAnsi="Arial"/>
          <w:sz w:val="17"/>
          <w:szCs w:val="17"/>
        </w:rPr>
        <w:t xml:space="preserve"> insurance company, must be commenced within one year of the cause of action or shall be barred as a matter of law. IN NO EVENT SHALL OUR LIABILITY TO YOU OR OTHERS UNDER THIS AGREEMENT OR OTHERWISE EXCEED $1,000, INCLUDING ANY LIABILITY UNDER SECTION 11.</w:t>
      </w:r>
    </w:p>
    <w:p w:rsidR="000E1791" w:rsidRPr="003708EE" w:rsidRDefault="000E1791" w:rsidP="003708EE">
      <w:pPr>
        <w:spacing w:before="60" w:line="18" w:lineRule="atLeast"/>
        <w:rPr>
          <w:rFonts w:ascii="Arial" w:hAnsi="Arial"/>
          <w:sz w:val="17"/>
          <w:szCs w:val="17"/>
        </w:rPr>
      </w:pPr>
      <w:r w:rsidRPr="003708EE">
        <w:rPr>
          <w:rFonts w:ascii="Arial" w:hAnsi="Arial"/>
          <w:sz w:val="17"/>
          <w:szCs w:val="17"/>
        </w:rPr>
        <w:t>11. FUEL TANK, PIPING AND ENVIRONMENTAL LIABILITY DISCLAIMER (NON-TANKSURE® PROGRAM CUSTOMERS) – Under no circumstances are we obligated to repair or replace a tank, lines and/or piping. You are responsible for the condition and maintenance of the fuel tank, lines and piping. We assume no liability for same. This Agreement does not insure against tank or line leakage or any damages to person or property resulting from tank or line leakage. This Agreement does not cover any installation, cleanup, removal, remedial, or other costs of compliance with any environmental or other laws, rules or regulations. We are not liable to render any service for which are not licensed. WE WILL NOT BE RESPONSIBLE FOR BODILY INJURY, A DECREASE IN PROPERTY VALUE OR PROPERTY DAMAGE ARISING OUT OF THE DISPOSAL, DISCHARGE, DISPERSAL, RELEASE, OR ESCAPE OF OIL, PROPANE OR OTHER SUBSTANCES OR DERIVATIVES INTO OR UPON YOUR PROPERTY, SURROUNDING PROPERTY, THE ATMOSPHERE OR ANY WATER COURSE OR BODY OF WATER UNLESS DIRECTLY AND SOLELY CAUSED BY OUR NEGLIGENCE.</w:t>
      </w:r>
    </w:p>
    <w:p w:rsidR="000E1791" w:rsidRPr="003708EE" w:rsidRDefault="000E1791" w:rsidP="003708EE">
      <w:pPr>
        <w:spacing w:before="60" w:line="18" w:lineRule="atLeast"/>
        <w:rPr>
          <w:rFonts w:ascii="Arial" w:hAnsi="Arial"/>
          <w:sz w:val="17"/>
          <w:szCs w:val="17"/>
        </w:rPr>
      </w:pPr>
      <w:r w:rsidRPr="003708EE">
        <w:rPr>
          <w:rFonts w:ascii="Arial" w:hAnsi="Arial"/>
          <w:sz w:val="17"/>
          <w:szCs w:val="17"/>
        </w:rPr>
        <w:t xml:space="preserve">12. TANKSURE® PROGRAM – The Company will pay up to $1,500 toward the replacement of your tank, once tested and qualified for the TankSure® Program, if a tank leak occurs subsequent to this test due to internal corrosion, or a tank leak occurs due to a manufacturer’s defect or a non-leaking tank is identified for proactive replacement. While we cannot guarantee that a leak will not occur or your tank will </w:t>
      </w:r>
      <w:r w:rsidRPr="003708EE">
        <w:rPr>
          <w:rFonts w:ascii="Arial" w:hAnsi="Arial"/>
          <w:sz w:val="17"/>
          <w:szCs w:val="17"/>
        </w:rPr>
        <w:lastRenderedPageBreak/>
        <w:t>not fail after testing, we are providing these new services with the hope that by testing and monitoring, we are offering a long-term proactive tank replacement program for our customers. Accidental damage is not covered by the TankSure Program. The TankSure Program does not cover environmental clean-up, property damage, waste disposal services or other damages or losses caused by a tank leak or system failure, even if the tank has been tested and qualified ultrasonically and is enrolled in the TankSure Program.</w:t>
      </w:r>
    </w:p>
    <w:p w:rsidR="000E1791" w:rsidRPr="003708EE" w:rsidRDefault="000E1791" w:rsidP="003708EE">
      <w:pPr>
        <w:spacing w:before="60" w:line="18" w:lineRule="atLeast"/>
        <w:rPr>
          <w:rFonts w:ascii="Arial" w:hAnsi="Arial"/>
          <w:sz w:val="17"/>
          <w:szCs w:val="17"/>
        </w:rPr>
      </w:pPr>
      <w:r w:rsidRPr="003708EE">
        <w:rPr>
          <w:rFonts w:ascii="Arial" w:hAnsi="Arial"/>
          <w:sz w:val="17"/>
          <w:szCs w:val="17"/>
        </w:rPr>
        <w:t>13. WAIVER OF SUBROGATION RIGHTS – Both Buyer and Seller do hereby mutually waive, any and all rights of subrogation and or recovery, against each other, including our officers, members, agents and employees, occurring on or arising out of this Agreement, the delivery of fuel and any system service or repair at your premises to the extent such loss or damage is covered by proceeds received from casualty, homeowners or other insurance carried by the other party. The party sustaining such loss shall have no right of recovery against the other party, or the agents, servants, contractors or employees of the other party; and no third party, including but not limited to any insurance carrier, shall have any right of recovery (whether based in tort, contract or otherwise) by way of subrogation or assignment or otherwise.</w:t>
      </w:r>
    </w:p>
    <w:p w:rsidR="000E1791" w:rsidRPr="003708EE" w:rsidRDefault="000E1791" w:rsidP="003708EE">
      <w:pPr>
        <w:spacing w:before="60" w:line="18" w:lineRule="atLeast"/>
        <w:rPr>
          <w:rFonts w:ascii="Arial" w:hAnsi="Arial"/>
          <w:sz w:val="17"/>
          <w:szCs w:val="17"/>
        </w:rPr>
      </w:pPr>
      <w:r w:rsidRPr="003708EE">
        <w:rPr>
          <w:rFonts w:ascii="Arial" w:hAnsi="Arial"/>
          <w:sz w:val="17"/>
          <w:szCs w:val="17"/>
        </w:rPr>
        <w:t>14. NO WARRANTIES – UNLESS EXPRESSLY SET FORTH IN THIS AGREEMENT, TO THE MAXIMUM EXTENT PERMITTED BY LAW, WE EXCLUDE ALL WARRANTIES, EXPRESS OR IMPLIED, IN LAW OR IN EQUITY, INCLUDING WITHOUT LIMITATION ANY WARRANTY OF MERCHANTABILITY OR FITNESS FOR A PARTICULAR PURPOSE WHETHER OR NOT PURPOSES OR SPECIFICATIONS ARE DESCRIBED HEREIN. NO WARRANTY IS MADE AS TO THE ABILITY OF THE SYSTEM TO SUPPLY HEAT OR HOT WATER AS REQUIRED BY YOU.</w:t>
      </w:r>
    </w:p>
    <w:p w:rsidR="000E1791" w:rsidRPr="003708EE" w:rsidRDefault="000E1791" w:rsidP="003708EE">
      <w:pPr>
        <w:spacing w:before="60" w:line="18" w:lineRule="atLeast"/>
        <w:rPr>
          <w:rFonts w:ascii="Arial" w:hAnsi="Arial"/>
          <w:sz w:val="17"/>
          <w:szCs w:val="17"/>
        </w:rPr>
      </w:pPr>
      <w:r w:rsidRPr="003708EE">
        <w:rPr>
          <w:rFonts w:ascii="Arial" w:hAnsi="Arial"/>
          <w:sz w:val="17"/>
          <w:szCs w:val="17"/>
        </w:rPr>
        <w:t>15. CANCELLATION BY YOU – You may cancel this Agreement at any time on thirty (30) days written notice. You agree to remain responsible for all purchases made and/or services rendered before the thirty (30) day period expires and for any collection costs. You understand and acknowledge that the service fee paid for this Agreement is not refundable.</w:t>
      </w:r>
    </w:p>
    <w:p w:rsidR="000E1791" w:rsidRPr="003708EE" w:rsidRDefault="000E1791" w:rsidP="003708EE">
      <w:pPr>
        <w:spacing w:before="60" w:line="18" w:lineRule="atLeast"/>
        <w:rPr>
          <w:rFonts w:ascii="Arial" w:hAnsi="Arial"/>
          <w:sz w:val="17"/>
          <w:szCs w:val="17"/>
        </w:rPr>
      </w:pPr>
      <w:r w:rsidRPr="003708EE">
        <w:rPr>
          <w:rFonts w:ascii="Arial" w:hAnsi="Arial"/>
          <w:sz w:val="17"/>
          <w:szCs w:val="17"/>
        </w:rPr>
        <w:t>1</w:t>
      </w:r>
      <w:r w:rsidR="003708EE" w:rsidRPr="003708EE">
        <w:rPr>
          <w:rFonts w:ascii="Arial" w:hAnsi="Arial"/>
          <w:sz w:val="17"/>
          <w:szCs w:val="17"/>
        </w:rPr>
        <w:t>6</w:t>
      </w:r>
      <w:r w:rsidRPr="003708EE">
        <w:rPr>
          <w:rFonts w:ascii="Arial" w:hAnsi="Arial"/>
          <w:sz w:val="17"/>
          <w:szCs w:val="17"/>
        </w:rPr>
        <w:t>. CANCELLATION BY US – We can suspend service under or terminate this Agreement with or without notice and without further responsibility if: you fail to purchase all of your fuel requirements from us; you fail to make a payment on time or if we deem your payment history unsatisfactory: you file for bankruptcy; you fail to remedy conditions identified as hazard to life are property; you permit any person other than our authorized representatives to service your equipment; you temporarily or permanently suspend fuel deliveries; if equipment becomes outdated and parts are not readily available; if annual propane consumption drops or annual fuel oil consumption drops below six-hundred (600) gallons per year; and/or you fail to comply with your obligations under this Agreement.</w:t>
      </w:r>
    </w:p>
    <w:p w:rsidR="003708EE" w:rsidRPr="003708EE" w:rsidRDefault="000E1791" w:rsidP="003708EE">
      <w:pPr>
        <w:spacing w:before="60" w:line="18" w:lineRule="atLeast"/>
        <w:rPr>
          <w:rFonts w:ascii="Arial" w:hAnsi="Arial"/>
          <w:sz w:val="17"/>
          <w:szCs w:val="17"/>
        </w:rPr>
      </w:pPr>
      <w:r w:rsidRPr="003708EE">
        <w:rPr>
          <w:rFonts w:ascii="Arial" w:hAnsi="Arial"/>
          <w:sz w:val="17"/>
          <w:szCs w:val="17"/>
        </w:rPr>
        <w:t>17. TERM – The term of this Agreement is twelve (12) months. For each twelve (12) months thereafter, you will receive an Invoice for the annual cost of the Agreement, as determined by us and disclosed on your Invoice. If you do not pay the Invoice in full within thirty (30) days of the date of the Invoice, this Agreement will be considered expired of the expiry date and you will be billed for all services we perform at our prevailing rates in effect at the time service is rendered. We can change the terms of this Agreement each subsequent twelve (12) month term, provided we give you thirty (30) days’ (ninety (90) days in New Jersey) written notice before the period in which the change becomes effective or billing takes place.</w:t>
      </w:r>
    </w:p>
    <w:p w:rsidR="000E1791" w:rsidRPr="003708EE" w:rsidRDefault="000E1791" w:rsidP="003708EE">
      <w:pPr>
        <w:spacing w:before="60" w:line="18" w:lineRule="atLeast"/>
        <w:rPr>
          <w:rFonts w:ascii="Arial" w:hAnsi="Arial"/>
          <w:sz w:val="17"/>
          <w:szCs w:val="17"/>
        </w:rPr>
      </w:pPr>
      <w:r w:rsidRPr="003708EE">
        <w:rPr>
          <w:rFonts w:ascii="Arial" w:hAnsi="Arial"/>
          <w:sz w:val="17"/>
          <w:szCs w:val="17"/>
        </w:rPr>
        <w:t>18. ARBITRATION OF DISPUTES – Any controversy or claim arising out of or relating to this contract or any breach thereof shall be settled by binding arbitration administered by the American Arbitration Association in accordance with its Consumer Arbitration Rules. Any judgment on the award rendered by the arbitrator may be entered in any court having jurisdiction thereof. Notwithstanding the forgoing, any controversy or claim may be submitted by either Buyer or Seller to a small claims court having jurisdiction of the controversy or claim. Buyer and Seller agree that for any claim initiated after the Effective Date either MAY BRING CLAIMS AGAINST THE OTHER ONLY IN BUYER OR SELLER’S INDIVIDUAL CAPACITY, AND NOT AS A PLAINTIFF OR CLASS MEMBER IN ANY PURPORTED CLASS OR REPRESENTATIVE PROCEEDING. Further, Buyer and Seller agree that the arbitrator may not consolidate proceedings or more than one person’s claims, and may not otherwise preside over any form of representative or class proceeding.</w:t>
      </w:r>
    </w:p>
    <w:p w:rsidR="00802451" w:rsidRPr="003708EE" w:rsidRDefault="000E1791" w:rsidP="003708EE">
      <w:pPr>
        <w:spacing w:before="60" w:line="18" w:lineRule="atLeast"/>
        <w:rPr>
          <w:rFonts w:ascii="Arial" w:hAnsi="Arial"/>
          <w:sz w:val="17"/>
          <w:szCs w:val="17"/>
        </w:rPr>
      </w:pPr>
      <w:r w:rsidRPr="003708EE">
        <w:rPr>
          <w:rFonts w:ascii="Arial" w:hAnsi="Arial"/>
          <w:sz w:val="17"/>
          <w:szCs w:val="17"/>
        </w:rPr>
        <w:t>19. ENTIRE AGREEMENT – We and you agree that this written Agreement along with the Service Brochure constitute the entire Agreement. Any statements not contained in this Agreement or the Service Brochure are not part of this Agreement. To the extent that these terms of this Agreement and Service Brochure are inconsistent, this Agreement shall control.</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20. BRONZE PLAN offers a 15% discount on diagnostic and repair charges, PLUS scheduled routine maintenance.</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21. GOLD PLAN covers labor and listed parts when customer has a problem with covered equipment, PLUS scheduled routine maintenance.</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22. Equipment is subject to the inspection and approval of Griffith Energy before acceptance in the Gold Service Plan. System must receive a satisfactory rating before coverage begins. Any repairs required to place equipment in acceptable condition are excluded and will be charged separately.</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 xml:space="preserve">23. Upon approval, acceptance and payment, service plans will be effective immediately. Preventive maintenance and combustion service will be performed during the period the plan is in effect at the mutual convenience of you and GRIFFITH. </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24. The service plans are not written on a prorated basis and no refunds will be made if the customer cancels plan prior to its normal expiration date. The service plans are transferable to another homeowner subject to credit approval but not from one heating system to another. The plans are void if anyone other than a Griffith Energy employee works on the equipment.</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25. GRIFFITH’S responsibility under a service plan will automatically cease without notice and without refund if service or any parts or equipment covered by the plan are procured from another source, if the customer purchases fuel oil from any other source, if customer refuses automatic delivery, or if customer’s account is past due.</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26. The service plans at prices quoted are for ordinary residential or comparably sized commercial heating systems that fire at a rate of up to 2.5 gph. Both plans apply to a single heating unit and one zone only. Additional units require separate plans. Each additional zone will be added for $15.</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lastRenderedPageBreak/>
        <w:t>27. Priority service. Plan customers receive priority scheduling, ahead of customers without a plan. Most calls are answered within 24 hours. However, longer response times may be encountered during peak periods. GRIFFITH makes no guarantee of any specific response time.</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28. Replacement of the entire unit or of the following systems and devices is not covered under either plan: condensing coils, flues, duct systems, evaporator coils, radiators, registers and grilles, and heating system piping, condensate drain lines, condensate pumps, UV lights, emergency drain pan and switch. The following services are not covered: electrical service from breaker to unit, gas and water leak repairs; refrigerant leak tests and repairs. In addition, these service plans DO NOT COVER backflow preventors, condensing furnaces or boilers, chimney maintenance, sidewall vents, discovery and removal of asbestos material, fuel storage/supply systems, separately fired domestic water-heating equipment, indirect-fired water-heating storage systems, compressors, heat exchangers, burners, refrigerant recovery or filters, humidifiers, electronic air cleaners, radiant heating systems, Blueray heating systems, forced-warm-air zone controls and dampers, combination solid/oil units, wood or coal add-on units, tankless coils, oil tanks, underground lines and fittings, oil lines, programmable or clock thermostats, and other accessories not an integral part of the air conditioner or furnace.</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29. If “oil tank needs replacement” diagnosis is made and customer declines replacement, all subsequent calls related to clogged oil lines, filters, nozzles, etc., will not be covered.</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30. Griffith Energy’s obligation to furnish parts shall be subject to their availability through normal supply sources. These service plans do not cover replacement of a complete boiler, furnace, burner, domestic (indirect or oil-fired) water heater, humidifier or piping; baffles; combustion chambers, vent piping, oil lines; oil storage tanks or any parts or services not mentioned explicitly in the plan.</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31. The following items are not covered under the heat pump plans: backup heating systems (oil, natural gas, propane), groundwater heat pumps and geothermal heat pumps.</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32. These service plans include only repair and replacement of parts specifically listed herein that are defective due to ordinary use or wear and tear, based on the judgment of Griffith Energy.</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33. These service plans do not cover parts or labor when failure is due to lack of fuel when delivery has been delayed due to delinquency of payments; customer leaving emergency switch in off position; customer setting thermostat too low to call for heat; customer failing to check for blown fuses or tripped circuit breakers; customer failing to flush steam boilers, correct low water levels or change clogged air filters; air in baseboards or radiators.</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34. Parts and labor not covered by a service plan will be billed at prevailing rates.</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35. Griffith Energy shall be released from liability for “run-outs” of fuel when the customer is using a supplemental heat source.</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36. Calls for replacing dirty filters; balancing heat and/or cooling to individual rooms; and air bleeding of hot water radiator systems and repairs to radiators will be considered chargeable calls.</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37. It is the customer’s obligation to ensure that the heating or cooling unit is accessible for service. If it is not accessible, service will not be performed.</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38. GRIFFITH will endeavor to render prompt and efficient service, but it is expressly agreed that GRIFFITH shall in no event be liable for damage or loss caused by delay, or any loss arising out of the performance of this agreement.</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39. Annual tune-ups may be scheduled at any time during the service plan year. Through a regular program of postcard reminders and follow-up phone calls, GRIFFITH will make every attempt to schedule the tune-up; however, this responsibility is shared with the customer, who must make the unit accessible to be worked on during normal working hours (Monday–Friday, 8 a.m.–5 p.m.).  GRIFFITH is not responsible if maintenance is not performed due to unavailability of customer to schedule this service. Maintenance is recommended in 18-month intervals, dependent upon annual fuel use.</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40. For Griffith Gold Plan customers, Griffith Energy will provide emergency service 7 days a week, 365 days a year. Emergency service is defined as 'no-heat', serious fuel leaks, or other dangerous situations. ‘No-cooling’ calls must be made during daylight hours for safety reasons, and attic units must have floor covers to service the system. All other service will be performed during normal working hours, Monday–Friday, 8 a.m.–4:30 p.m.</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41. For Bronze Plan customers, Griffith Energy will provide emergency service 7 days a week, 365 days a year. Emergency service is defined the same as above and such service will be billed at the prevailing overtime rate at the time of the service call (less the 15% discount per the Bronze Plan benefit). Normal working hours for Bronze Plan customers are 8 a.m.–4:30 p.m.</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42. The Loyalty Credits program gives each customer with a BRONZE or GOLD Plan $50 for each consecutive year the plan is in place, toward the purchase of a replacement furnace, heat pump, air handler or condensing unit, up to a maximum of $500. Credits cannot be used for repairs, installation of accessories or any other purchases, or for paying any outstanding balance to GRIFFITH.</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43. Loyalty Credits are not transferable and cannot be paid in any form in lieu of purchase.</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44. When customer uses Loyalty Credits toward a purchase, the equipment being replaced must have been covered under a current service plan with GRIFFITH.</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45. GRIFFITH reserves the right to modify the Loyalty Credits program, including terminating it without prior notice. In the event of program termination all earned credits will be available for use by customer for a period of one year following program termination.</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46. This agreement does not cover sidewall vented equipment.</w:t>
      </w:r>
    </w:p>
    <w:p w:rsidR="00802451" w:rsidRPr="003708EE" w:rsidRDefault="00802451" w:rsidP="003708EE">
      <w:pPr>
        <w:spacing w:before="60" w:line="18" w:lineRule="atLeast"/>
        <w:rPr>
          <w:rFonts w:ascii="Arial" w:hAnsi="Arial"/>
          <w:sz w:val="17"/>
          <w:szCs w:val="17"/>
        </w:rPr>
      </w:pPr>
      <w:r w:rsidRPr="003708EE">
        <w:rPr>
          <w:rFonts w:ascii="Arial" w:hAnsi="Arial"/>
          <w:sz w:val="17"/>
          <w:szCs w:val="17"/>
        </w:rPr>
        <w:t xml:space="preserve">47. GRIFFITH is not obligated to perform rooftop service. </w:t>
      </w:r>
    </w:p>
    <w:p w:rsidR="000E1791" w:rsidRPr="003708EE" w:rsidRDefault="00802451" w:rsidP="003708EE">
      <w:pPr>
        <w:spacing w:before="60" w:line="18" w:lineRule="atLeast"/>
        <w:rPr>
          <w:rFonts w:ascii="Arial" w:hAnsi="Arial"/>
          <w:sz w:val="17"/>
          <w:szCs w:val="17"/>
        </w:rPr>
      </w:pPr>
      <w:r w:rsidRPr="003708EE">
        <w:rPr>
          <w:rFonts w:ascii="Arial" w:hAnsi="Arial"/>
          <w:sz w:val="17"/>
          <w:szCs w:val="17"/>
        </w:rPr>
        <w:t>48. This is the entire plan (both Bronze and Gold plans); it cancels and supersedes all prior plans.</w:t>
      </w:r>
      <w:r w:rsidR="003708EE" w:rsidRPr="003708EE">
        <w:rPr>
          <w:rFonts w:ascii="Arial" w:hAnsi="Arial"/>
          <w:sz w:val="17"/>
          <w:szCs w:val="17"/>
        </w:rPr>
        <w:t xml:space="preserve"> </w:t>
      </w:r>
    </w:p>
    <w:sectPr w:rsidR="000E1791" w:rsidRPr="003708EE" w:rsidSect="003708EE">
      <w:headerReference w:type="default" r:id="rId6"/>
      <w:pgSz w:w="12240" w:h="15840"/>
      <w:pgMar w:top="952" w:right="990" w:bottom="540" w:left="81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16A" w:rsidRDefault="0048616A" w:rsidP="000E1791">
      <w:r>
        <w:separator/>
      </w:r>
    </w:p>
  </w:endnote>
  <w:endnote w:type="continuationSeparator" w:id="0">
    <w:p w:rsidR="0048616A" w:rsidRDefault="0048616A" w:rsidP="000E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ource Sans Pro">
    <w:altName w:val="Malgun Gothic"/>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16A" w:rsidRDefault="0048616A" w:rsidP="000E1791">
      <w:r>
        <w:separator/>
      </w:r>
    </w:p>
  </w:footnote>
  <w:footnote w:type="continuationSeparator" w:id="0">
    <w:p w:rsidR="0048616A" w:rsidRDefault="0048616A" w:rsidP="000E1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791" w:rsidRDefault="000E1791" w:rsidP="000E1791">
    <w:pPr>
      <w:pStyle w:val="Header"/>
      <w:tabs>
        <w:tab w:val="clear" w:pos="4320"/>
      </w:tabs>
    </w:pPr>
    <w:r>
      <w:t xml:space="preserve">                                                                            </w:t>
    </w:r>
    <w:r>
      <w:rPr>
        <w:noProof/>
      </w:rPr>
      <w:drawing>
        <wp:inline distT="0" distB="0" distL="0" distR="0" wp14:anchorId="3F3F2616" wp14:editId="74A4E465">
          <wp:extent cx="1491343" cy="989568"/>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ffith MD logo_griiffy on barrell.jpg"/>
                  <pic:cNvPicPr/>
                </pic:nvPicPr>
                <pic:blipFill>
                  <a:blip r:embed="rId1">
                    <a:extLst>
                      <a:ext uri="{28A0092B-C50C-407E-A947-70E740481C1C}">
                        <a14:useLocalDpi xmlns:a14="http://schemas.microsoft.com/office/drawing/2010/main" val="0"/>
                      </a:ext>
                    </a:extLst>
                  </a:blip>
                  <a:stretch>
                    <a:fillRect/>
                  </a:stretch>
                </pic:blipFill>
                <pic:spPr>
                  <a:xfrm>
                    <a:off x="0" y="0"/>
                    <a:ext cx="1492436" cy="990293"/>
                  </a:xfrm>
                  <a:prstGeom prst="rect">
                    <a:avLst/>
                  </a:prstGeom>
                </pic:spPr>
              </pic:pic>
            </a:graphicData>
          </a:graphic>
        </wp:inline>
      </w:drawing>
    </w:r>
  </w:p>
  <w:p w:rsidR="000E1791" w:rsidRDefault="000E1791" w:rsidP="000E1791">
    <w:pPr>
      <w:pStyle w:val="Header"/>
      <w:tabs>
        <w:tab w:val="clear" w:pos="4320"/>
      </w:tabs>
    </w:pPr>
    <w:r>
      <w:rPr>
        <w:noProof/>
      </w:rPr>
      <mc:AlternateContent>
        <mc:Choice Requires="wps">
          <w:drawing>
            <wp:anchor distT="0" distB="0" distL="114300" distR="114300" simplePos="0" relativeHeight="251658239" behindDoc="0" locked="0" layoutInCell="1" allowOverlap="1" wp14:anchorId="74DADEB0" wp14:editId="0B9E0AA4">
              <wp:simplePos x="0" y="0"/>
              <wp:positionH relativeFrom="column">
                <wp:posOffset>1019175</wp:posOffset>
              </wp:positionH>
              <wp:positionV relativeFrom="paragraph">
                <wp:posOffset>80010</wp:posOffset>
              </wp:positionV>
              <wp:extent cx="4517390" cy="315595"/>
              <wp:effectExtent l="0" t="0" r="3810" b="0"/>
              <wp:wrapNone/>
              <wp:docPr id="3" name="Rounded Rectangle 3"/>
              <wp:cNvGraphicFramePr/>
              <a:graphic xmlns:a="http://schemas.openxmlformats.org/drawingml/2006/main">
                <a:graphicData uri="http://schemas.microsoft.com/office/word/2010/wordprocessingShape">
                  <wps:wsp>
                    <wps:cNvSpPr/>
                    <wps:spPr>
                      <a:xfrm>
                        <a:off x="0" y="0"/>
                        <a:ext cx="4517390" cy="315595"/>
                      </a:xfrm>
                      <a:prstGeom prst="roundRect">
                        <a:avLst>
                          <a:gd name="adj" fmla="val 50000"/>
                        </a:avLst>
                      </a:prstGeom>
                      <a:solidFill>
                        <a:srgbClr val="0F377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C8811" id="Rounded Rectangle 3" o:spid="_x0000_s1026" style="position:absolute;margin-left:80.25pt;margin-top:6.3pt;width:355.7pt;height:24.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" fillcolor="#0f377d" stroked="f"/>
          </w:pict>
        </mc:Fallback>
      </mc:AlternateContent>
    </w:r>
    <w:r>
      <w:rPr>
        <w:noProof/>
      </w:rPr>
      <mc:AlternateContent>
        <mc:Choice Requires="wps">
          <w:drawing>
            <wp:anchor distT="0" distB="0" distL="114300" distR="114300" simplePos="0" relativeHeight="251659264" behindDoc="0" locked="0" layoutInCell="1" allowOverlap="1" wp14:anchorId="490ADD11" wp14:editId="40CFA473">
              <wp:simplePos x="0" y="0"/>
              <wp:positionH relativeFrom="column">
                <wp:posOffset>1226185</wp:posOffset>
              </wp:positionH>
              <wp:positionV relativeFrom="paragraph">
                <wp:posOffset>81189</wp:posOffset>
              </wp:positionV>
              <wp:extent cx="3940175" cy="408305"/>
              <wp:effectExtent l="0" t="0" r="0" b="0"/>
              <wp:wrapNone/>
              <wp:docPr id="2" name="Text Box 2"/>
              <wp:cNvGraphicFramePr/>
              <a:graphic xmlns:a="http://schemas.openxmlformats.org/drawingml/2006/main">
                <a:graphicData uri="http://schemas.microsoft.com/office/word/2010/wordprocessingShape">
                  <wps:wsp>
                    <wps:cNvSpPr txBox="1"/>
                    <wps:spPr>
                      <a:xfrm>
                        <a:off x="0" y="0"/>
                        <a:ext cx="3940175" cy="4083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E1791" w:rsidRPr="000E1791" w:rsidRDefault="000E1791" w:rsidP="000E1791">
                          <w:pPr>
                            <w:jc w:val="center"/>
                            <w:rPr>
                              <w:rFonts w:ascii="Arial" w:hAnsi="Arial"/>
                              <w:b/>
                              <w:color w:val="FFFFFF" w:themeColor="background1"/>
                              <w:sz w:val="28"/>
                              <w:szCs w:val="28"/>
                            </w:rPr>
                          </w:pPr>
                          <w:r w:rsidRPr="000E1791">
                            <w:rPr>
                              <w:rFonts w:ascii="Arial" w:hAnsi="Arial"/>
                              <w:b/>
                              <w:color w:val="FFFFFF" w:themeColor="background1"/>
                              <w:sz w:val="28"/>
                              <w:szCs w:val="28"/>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ADD11" id="_x0000_t202" coordsize="21600,21600" o:spt="202" path="m,l,21600r21600,l21600,xe">
              <v:stroke joinstyle="miter"/>
              <v:path gradientshapeok="t" o:connecttype="rect"/>
            </v:shapetype>
            <v:shape id="Text Box 2" o:spid="_x0000_s1026" type="#_x0000_t202" style="position:absolute;margin-left:96.55pt;margin-top:6.4pt;width:310.25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" filled="f" stroked="f">
              <v:textbox>
                <w:txbxContent>
                  <w:p w:rsidR="000E1791" w:rsidRPr="000E1791" w:rsidRDefault="000E1791" w:rsidP="000E1791">
                    <w:pPr>
                      <w:jc w:val="center"/>
                      <w:rPr>
                        <w:rFonts w:ascii="Arial" w:hAnsi="Arial"/>
                        <w:b/>
                        <w:color w:val="FFFFFF" w:themeColor="background1"/>
                        <w:sz w:val="28"/>
                        <w:szCs w:val="28"/>
                      </w:rPr>
                    </w:pPr>
                    <w:r w:rsidRPr="000E1791">
                      <w:rPr>
                        <w:rFonts w:ascii="Arial" w:hAnsi="Arial"/>
                        <w:b/>
                        <w:color w:val="FFFFFF" w:themeColor="background1"/>
                        <w:sz w:val="28"/>
                        <w:szCs w:val="28"/>
                      </w:rPr>
                      <w:t>TERMS AND CONDITIONS</w:t>
                    </w:r>
                  </w:p>
                </w:txbxContent>
              </v:textbox>
            </v:shape>
          </w:pict>
        </mc:Fallback>
      </mc:AlternateContent>
    </w:r>
  </w:p>
  <w:p w:rsidR="000E1791" w:rsidRDefault="000E1791" w:rsidP="000E1791">
    <w:pPr>
      <w:pStyle w:val="Header"/>
      <w:tabs>
        <w:tab w:val="clear" w:pos="4320"/>
      </w:tabs>
    </w:pPr>
    <w:r>
      <w:tab/>
    </w:r>
  </w:p>
  <w:p w:rsidR="00A73A60" w:rsidRDefault="00A73A60" w:rsidP="000E1791">
    <w:pPr>
      <w:pStyle w:val="Header"/>
      <w:tabs>
        <w:tab w:val="clear" w:pos="43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91"/>
    <w:rsid w:val="00012A08"/>
    <w:rsid w:val="000E1791"/>
    <w:rsid w:val="003708EE"/>
    <w:rsid w:val="00381BF3"/>
    <w:rsid w:val="0048616A"/>
    <w:rsid w:val="004B7B5F"/>
    <w:rsid w:val="00507710"/>
    <w:rsid w:val="00802451"/>
    <w:rsid w:val="008A2DDD"/>
    <w:rsid w:val="00A73A60"/>
    <w:rsid w:val="00EE0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F5F1A9C-86A6-458E-8AC4-E84F20A7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8A2DDD"/>
    <w:pPr>
      <w:overflowPunct w:val="0"/>
      <w:autoSpaceDE w:val="0"/>
      <w:autoSpaceDN w:val="0"/>
      <w:adjustRightInd w:val="0"/>
      <w:textAlignment w:val="baseline"/>
    </w:pPr>
    <w:rPr>
      <w:rFonts w:ascii="Source Sans Pro" w:eastAsia="Times New Roman" w:hAnsi="Source Sans Pro" w:cs="Times New Roman"/>
      <w:sz w:val="22"/>
      <w:szCs w:val="20"/>
    </w:rPr>
  </w:style>
  <w:style w:type="paragraph" w:styleId="Header">
    <w:name w:val="header"/>
    <w:basedOn w:val="Normal"/>
    <w:link w:val="HeaderChar"/>
    <w:uiPriority w:val="99"/>
    <w:unhideWhenUsed/>
    <w:rsid w:val="000E1791"/>
    <w:pPr>
      <w:tabs>
        <w:tab w:val="center" w:pos="4320"/>
        <w:tab w:val="right" w:pos="8640"/>
      </w:tabs>
    </w:pPr>
  </w:style>
  <w:style w:type="character" w:customStyle="1" w:styleId="HeaderChar">
    <w:name w:val="Header Char"/>
    <w:basedOn w:val="DefaultParagraphFont"/>
    <w:link w:val="Header"/>
    <w:uiPriority w:val="99"/>
    <w:rsid w:val="000E1791"/>
  </w:style>
  <w:style w:type="paragraph" w:styleId="Footer">
    <w:name w:val="footer"/>
    <w:basedOn w:val="Normal"/>
    <w:link w:val="FooterChar"/>
    <w:uiPriority w:val="99"/>
    <w:unhideWhenUsed/>
    <w:rsid w:val="000E1791"/>
    <w:pPr>
      <w:tabs>
        <w:tab w:val="center" w:pos="4320"/>
        <w:tab w:val="right" w:pos="8640"/>
      </w:tabs>
    </w:pPr>
  </w:style>
  <w:style w:type="character" w:customStyle="1" w:styleId="FooterChar">
    <w:name w:val="Footer Char"/>
    <w:basedOn w:val="DefaultParagraphFont"/>
    <w:link w:val="Footer"/>
    <w:uiPriority w:val="99"/>
    <w:rsid w:val="000E1791"/>
  </w:style>
  <w:style w:type="paragraph" w:styleId="BalloonText">
    <w:name w:val="Balloon Text"/>
    <w:basedOn w:val="Normal"/>
    <w:link w:val="BalloonTextChar"/>
    <w:uiPriority w:val="99"/>
    <w:semiHidden/>
    <w:unhideWhenUsed/>
    <w:rsid w:val="000E17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179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Consumer Focus</Company>
  <LinksUpToDate>false</LinksUpToDate>
  <CharactersWithSpaces>19554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Focus</dc:creator>
  <cp:keywords/>
  <dc:description/>
  <cp:lastModifiedBy>Kevin Spain</cp:lastModifiedBy>
  <cp:revision>2</cp:revision>
  <dcterms:created xsi:type="dcterms:W3CDTF">2017-06-01T15:01:00Z</dcterms:created>
  <dcterms:modified xsi:type="dcterms:W3CDTF">2017-06-01T15:01:00Z</dcterms:modified>
</cp:coreProperties>
</file>